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6F1E" w:rsidRPr="00D96F1E" w:rsidRDefault="00D96F1E" w:rsidP="00D96F1E">
      <w:pPr>
        <w:spacing w:before="240" w:after="240" w:line="240" w:lineRule="auto"/>
        <w:ind w:left="-284" w:right="-188"/>
        <w:rPr>
          <w:rFonts w:ascii="Times New Roman" w:eastAsia="Times New Roman" w:hAnsi="Times New Roman" w:cs="Times New Roman"/>
          <w:sz w:val="24"/>
          <w:szCs w:val="24"/>
          <w:lang w:eastAsia="en-GB"/>
        </w:rPr>
      </w:pPr>
      <w:r w:rsidRPr="00D96F1E">
        <w:rPr>
          <w:rFonts w:ascii="Arial" w:eastAsia="Times New Roman" w:hAnsi="Arial" w:cs="Arial"/>
          <w:b/>
          <w:bCs/>
          <w:color w:val="000000"/>
          <w:lang w:eastAsia="en-GB"/>
        </w:rPr>
        <w:t>What Counts for Pager and Brown?</w:t>
      </w:r>
    </w:p>
    <w:p w:rsidR="00D96F1E" w:rsidRPr="00D96F1E" w:rsidRDefault="00D96F1E" w:rsidP="00D96F1E">
      <w:pPr>
        <w:spacing w:before="240" w:after="240" w:line="240" w:lineRule="auto"/>
        <w:ind w:left="-284" w:right="-188"/>
        <w:rPr>
          <w:rFonts w:ascii="Times New Roman" w:eastAsia="Times New Roman" w:hAnsi="Times New Roman" w:cs="Times New Roman"/>
          <w:sz w:val="24"/>
          <w:szCs w:val="24"/>
          <w:lang w:eastAsia="en-GB"/>
        </w:rPr>
      </w:pPr>
      <w:r w:rsidRPr="00D96F1E">
        <w:rPr>
          <w:rFonts w:ascii="Arial" w:eastAsia="Times New Roman" w:hAnsi="Arial" w:cs="Arial"/>
          <w:color w:val="000000"/>
          <w:lang w:eastAsia="en-GB"/>
        </w:rPr>
        <w:t>A collaboration, you say? That’s exciting. Or rather: forgive me if I stifle a yawn. Such shows may be wonderful, but the act of collaboration doesn’t always feel as if it has any particular conceptual heft. So</w:t>
      </w:r>
      <w:r>
        <w:rPr>
          <w:rFonts w:ascii="Arial" w:eastAsia="Times New Roman" w:hAnsi="Arial" w:cs="Arial"/>
          <w:color w:val="000000"/>
          <w:lang w:eastAsia="en-GB"/>
        </w:rPr>
        <w:t>,</w:t>
      </w:r>
      <w:r w:rsidRPr="00D96F1E">
        <w:rPr>
          <w:rFonts w:ascii="Arial" w:eastAsia="Times New Roman" w:hAnsi="Arial" w:cs="Arial"/>
          <w:color w:val="000000"/>
          <w:lang w:eastAsia="en-GB"/>
        </w:rPr>
        <w:t xml:space="preserve"> I was agreeably intrigued to hear that in Lucy Brown and Sarah Pager’s collaboration, the former is showing her work </w:t>
      </w:r>
      <w:r w:rsidRPr="00D96F1E">
        <w:rPr>
          <w:rFonts w:ascii="Arial" w:eastAsia="Times New Roman" w:hAnsi="Arial" w:cs="Arial"/>
          <w:i/>
          <w:iCs/>
          <w:color w:val="000000"/>
          <w:lang w:eastAsia="en-GB"/>
        </w:rPr>
        <w:t>inside</w:t>
      </w:r>
      <w:r w:rsidRPr="00D96F1E">
        <w:rPr>
          <w:rFonts w:ascii="Arial" w:eastAsia="Times New Roman" w:hAnsi="Arial" w:cs="Arial"/>
          <w:color w:val="000000"/>
          <w:lang w:eastAsia="en-GB"/>
        </w:rPr>
        <w:t xml:space="preserve"> the latter’s.  Interesting - though it doesn’t sound so good for Brown. Will we be able to see her contribution at all? I guess we’ll need to visit the gallery to find out. It sounds like a show which, mindful of the increasingly prevalent distinction between seeing art on screen and seeing it ‘in real life’, we’ll need to experience in person. Yet it turns out to elude that easy distinction. Never mind the differential quality of the experiences involved, you can’t even see all the work by looking at it in the space: what you get is the chance to circle round a hollow plaster form and stare through apertures. Even if you make sure to look through every portal, there are parts you’ll be denied. ‘We want to make viewers aware’, say the artists, ‘that they can’t see everything’.</w:t>
      </w:r>
    </w:p>
    <w:p w:rsidR="00D96F1E" w:rsidRPr="00D96F1E" w:rsidRDefault="00D96F1E" w:rsidP="00D96F1E">
      <w:pPr>
        <w:spacing w:before="240" w:after="240" w:line="240" w:lineRule="auto"/>
        <w:ind w:left="-284" w:right="-188"/>
        <w:rPr>
          <w:rFonts w:ascii="Times New Roman" w:eastAsia="Times New Roman" w:hAnsi="Times New Roman" w:cs="Times New Roman"/>
          <w:sz w:val="24"/>
          <w:szCs w:val="24"/>
          <w:lang w:eastAsia="en-GB"/>
        </w:rPr>
      </w:pPr>
      <w:r w:rsidRPr="00D96F1E">
        <w:rPr>
          <w:rFonts w:ascii="Arial" w:eastAsia="Times New Roman" w:hAnsi="Arial" w:cs="Arial"/>
          <w:color w:val="000000"/>
          <w:lang w:eastAsia="en-GB"/>
        </w:rPr>
        <w:t>That limitation is made all the more tantalising by the installation’s title: ‘it’s what’s inside’. That suggests the moralistic phrase ‘It’s what’s inside that counts’: beauty is but skin deep, God will know our true intent, it’s the ingredients not the appearance of food that nourishes, etc.  So: we make the journey, the effort, the investment of time and attention to take in the work first hand… and we can’t really see the thing that matters most. This is, as Pager puts it ‘a real</w:t>
      </w:r>
      <w:r>
        <w:rPr>
          <w:rFonts w:ascii="Arial" w:eastAsia="Times New Roman" w:hAnsi="Arial" w:cs="Arial"/>
          <w:color w:val="000000"/>
          <w:lang w:eastAsia="en-GB"/>
        </w:rPr>
        <w:t>-l</w:t>
      </w:r>
      <w:r w:rsidRPr="00D96F1E">
        <w:rPr>
          <w:rFonts w:ascii="Arial" w:eastAsia="Times New Roman" w:hAnsi="Arial" w:cs="Arial"/>
          <w:color w:val="000000"/>
          <w:lang w:eastAsia="en-GB"/>
        </w:rPr>
        <w:t xml:space="preserve">ife evocation of the frustration of screen viewing, of how everything becomes flatter’. Perhaps we need to go virtual, after all. A weblink to the Google Street View site for Gallery DODO shows what’s inside via an interactive </w:t>
      </w:r>
      <w:proofErr w:type="gramStart"/>
      <w:r w:rsidRPr="00D96F1E">
        <w:rPr>
          <w:rFonts w:ascii="Arial" w:eastAsia="Times New Roman" w:hAnsi="Arial" w:cs="Arial"/>
          <w:color w:val="000000"/>
          <w:lang w:eastAsia="en-GB"/>
        </w:rPr>
        <w:t>360° degree</w:t>
      </w:r>
      <w:proofErr w:type="gramEnd"/>
      <w:r w:rsidRPr="00D96F1E">
        <w:rPr>
          <w:rFonts w:ascii="Arial" w:eastAsia="Times New Roman" w:hAnsi="Arial" w:cs="Arial"/>
          <w:color w:val="000000"/>
          <w:lang w:eastAsia="en-GB"/>
        </w:rPr>
        <w:t xml:space="preserve"> image taken within the outer form. It’s tempting to assume that if you combine that with on-site external circumambulations and some phenomenological peering in, you’ll have ‘seen it all’. Yet not so: what you still can’t see is the camera, which is key to the work.  Such, one might conclude, is the way surveillance has of escaping our surveillance.</w:t>
      </w:r>
    </w:p>
    <w:p w:rsidR="00D96F1E" w:rsidRPr="00D96F1E" w:rsidRDefault="00D96F1E" w:rsidP="00D96F1E">
      <w:pPr>
        <w:spacing w:before="240" w:after="240" w:line="240" w:lineRule="auto"/>
        <w:ind w:left="-284" w:right="-188"/>
        <w:rPr>
          <w:rFonts w:ascii="Times New Roman" w:eastAsia="Times New Roman" w:hAnsi="Times New Roman" w:cs="Times New Roman"/>
          <w:sz w:val="24"/>
          <w:szCs w:val="24"/>
          <w:lang w:eastAsia="en-GB"/>
        </w:rPr>
      </w:pPr>
      <w:r w:rsidRPr="00D96F1E">
        <w:rPr>
          <w:rFonts w:ascii="Arial" w:eastAsia="Times New Roman" w:hAnsi="Arial" w:cs="Arial"/>
          <w:color w:val="000000"/>
          <w:lang w:eastAsia="en-GB"/>
        </w:rPr>
        <w:t>Back with the novel means of collaboration, is Brown’s work comfortably nesting inside Pager’s, or has it been consumed? Is this a case of infestation or imprisonment? There’s tension here, and intimacy.  Brown’s work is experiencing Pager’s ‘from the inside’: the fantasy of going beyond penetrative connection with a partner, to being wholly enveloped, might come to mind. Talking of which ‘I’d like to get inside a Henry Moore’, says Pager, ‘they’re hollow bronze casts so it would be possible’. It would be rather like the online presence of ‘it's what's inside’ – a purely internal world.</w:t>
      </w:r>
    </w:p>
    <w:p w:rsidR="00D96F1E" w:rsidRPr="00D96F1E" w:rsidRDefault="00D96F1E" w:rsidP="00D96F1E">
      <w:pPr>
        <w:spacing w:before="240" w:after="240" w:line="240" w:lineRule="auto"/>
        <w:ind w:left="-284" w:right="-188"/>
        <w:rPr>
          <w:rFonts w:ascii="Times New Roman" w:eastAsia="Times New Roman" w:hAnsi="Times New Roman" w:cs="Times New Roman"/>
          <w:sz w:val="24"/>
          <w:szCs w:val="24"/>
          <w:lang w:eastAsia="en-GB"/>
        </w:rPr>
      </w:pPr>
      <w:r w:rsidRPr="00D96F1E">
        <w:rPr>
          <w:rFonts w:ascii="Arial" w:eastAsia="Times New Roman" w:hAnsi="Arial" w:cs="Arial"/>
          <w:color w:val="000000"/>
          <w:lang w:eastAsia="en-GB"/>
        </w:rPr>
        <w:t>So that’s how we experience the work. But what actually is it? Pager has a long-standing interest in making the form of breath visible. Sometimes that’s been through movement: sculptures phasing in and out as if they have lungs. ‘it’s what’s inside: outer’ is static, but she’s made it by blowing into a plastic bag, then creating a shell around the form, and casting the resulting shape. That makes the form a stand-in for the body in action, as well as echoing monumental sculptures à la Moore.</w:t>
      </w:r>
    </w:p>
    <w:p w:rsidR="00D96F1E" w:rsidRDefault="00D96F1E" w:rsidP="00D96F1E">
      <w:pPr>
        <w:spacing w:before="240" w:after="240" w:line="240" w:lineRule="auto"/>
        <w:ind w:left="-284" w:right="-188"/>
        <w:rPr>
          <w:rFonts w:ascii="Times New Roman" w:eastAsia="Times New Roman" w:hAnsi="Times New Roman" w:cs="Times New Roman"/>
          <w:sz w:val="24"/>
          <w:szCs w:val="24"/>
          <w:lang w:eastAsia="en-GB"/>
        </w:rPr>
      </w:pPr>
      <w:r w:rsidRPr="00D96F1E">
        <w:rPr>
          <w:rFonts w:ascii="Arial" w:eastAsia="Times New Roman" w:hAnsi="Arial" w:cs="Arial"/>
          <w:color w:val="000000"/>
          <w:lang w:eastAsia="en-GB"/>
        </w:rPr>
        <w:t xml:space="preserve">The ‘inners’ are four abstract sculptures by Brown, smaller and more concentrated than the installations she has shown most often. She says their shape, which follows underlying wire, responds to Pager’s form. They’re made from used clothing, its softness chosen because she saw Pager’s pieces as awkward ‘and wanted to make them comfortable by padding and cushioning them’.  The inners also evoke the body: in their intestinal interior placement; in carrying the histories of contact with the clothes’ wearers; in their pink and purple colour scheme suggesting organs and blood. Moreover, we glimpse Brown’s sculptures through what we might term breathing holes or orifices. The way they appear on screen is strongly reminiscent of </w:t>
      </w:r>
      <w:r w:rsidRPr="00D96F1E">
        <w:rPr>
          <w:rFonts w:ascii="Arial" w:eastAsia="Times New Roman" w:hAnsi="Arial" w:cs="Arial"/>
          <w:i/>
          <w:iCs/>
          <w:color w:val="000000"/>
          <w:lang w:eastAsia="en-GB"/>
        </w:rPr>
        <w:t xml:space="preserve">Corps </w:t>
      </w:r>
      <w:proofErr w:type="spellStart"/>
      <w:r w:rsidRPr="00D96F1E">
        <w:rPr>
          <w:rFonts w:ascii="Arial" w:eastAsia="Times New Roman" w:hAnsi="Arial" w:cs="Arial"/>
          <w:i/>
          <w:iCs/>
          <w:color w:val="000000"/>
          <w:lang w:eastAsia="en-GB"/>
        </w:rPr>
        <w:t>Étranger</w:t>
      </w:r>
      <w:proofErr w:type="spellEnd"/>
      <w:r w:rsidRPr="00D96F1E">
        <w:rPr>
          <w:rFonts w:ascii="Arial" w:eastAsia="Times New Roman" w:hAnsi="Arial" w:cs="Arial"/>
          <w:color w:val="000000"/>
          <w:lang w:eastAsia="en-GB"/>
        </w:rPr>
        <w:t xml:space="preserve"> (1994) the short film by Mona </w:t>
      </w:r>
      <w:proofErr w:type="spellStart"/>
      <w:r w:rsidRPr="00D96F1E">
        <w:rPr>
          <w:rFonts w:ascii="Arial" w:eastAsia="Times New Roman" w:hAnsi="Arial" w:cs="Arial"/>
          <w:color w:val="000000"/>
          <w:lang w:eastAsia="en-GB"/>
        </w:rPr>
        <w:t>Hatoum</w:t>
      </w:r>
      <w:proofErr w:type="spellEnd"/>
      <w:r w:rsidRPr="00D96F1E">
        <w:rPr>
          <w:rFonts w:ascii="Arial" w:eastAsia="Times New Roman" w:hAnsi="Arial" w:cs="Arial"/>
          <w:color w:val="000000"/>
          <w:lang w:eastAsia="en-GB"/>
        </w:rPr>
        <w:t xml:space="preserve"> which uses endoscopic footage of the artist’s own internal organs.</w:t>
      </w:r>
    </w:p>
    <w:p w:rsidR="00D96F1E" w:rsidRPr="00D96F1E" w:rsidRDefault="00D96F1E" w:rsidP="00D96F1E">
      <w:pPr>
        <w:spacing w:before="240" w:after="240" w:line="240" w:lineRule="auto"/>
        <w:ind w:left="-284" w:right="-188"/>
        <w:rPr>
          <w:rFonts w:ascii="Times New Roman" w:eastAsia="Times New Roman" w:hAnsi="Times New Roman" w:cs="Times New Roman"/>
          <w:sz w:val="24"/>
          <w:szCs w:val="24"/>
          <w:lang w:eastAsia="en-GB"/>
        </w:rPr>
      </w:pPr>
      <w:bookmarkStart w:id="0" w:name="_GoBack"/>
      <w:bookmarkEnd w:id="0"/>
      <w:r w:rsidRPr="00D96F1E">
        <w:rPr>
          <w:rFonts w:ascii="Arial" w:eastAsia="Times New Roman" w:hAnsi="Arial" w:cs="Arial"/>
          <w:color w:val="000000"/>
          <w:lang w:eastAsia="en-GB"/>
        </w:rPr>
        <w:lastRenderedPageBreak/>
        <w:t>There’s more. Gallery DODO used to be a toilet with two cubicles, and it seems there’s a left-over from that time: a row of soaps on a shelf. Used soaps, it would appear – we might be slightly repelled to notice that a hair has become adhered to one of them. Actually, it’s happened to all of them. So</w:t>
      </w:r>
      <w:r>
        <w:rPr>
          <w:rFonts w:ascii="Arial" w:eastAsia="Times New Roman" w:hAnsi="Arial" w:cs="Arial"/>
          <w:color w:val="000000"/>
          <w:lang w:eastAsia="en-GB"/>
        </w:rPr>
        <w:t>,</w:t>
      </w:r>
      <w:r w:rsidRPr="00D96F1E">
        <w:rPr>
          <w:rFonts w:ascii="Arial" w:eastAsia="Times New Roman" w:hAnsi="Arial" w:cs="Arial"/>
          <w:color w:val="000000"/>
          <w:lang w:eastAsia="en-GB"/>
        </w:rPr>
        <w:t xml:space="preserve"> we realise that these are not </w:t>
      </w:r>
      <w:proofErr w:type="spellStart"/>
      <w:r w:rsidRPr="00D96F1E">
        <w:rPr>
          <w:rFonts w:ascii="Arial" w:eastAsia="Times New Roman" w:hAnsi="Arial" w:cs="Arial"/>
          <w:color w:val="000000"/>
          <w:lang w:eastAsia="en-GB"/>
        </w:rPr>
        <w:t>repurposings</w:t>
      </w:r>
      <w:proofErr w:type="spellEnd"/>
      <w:r w:rsidRPr="00D96F1E">
        <w:rPr>
          <w:rFonts w:ascii="Arial" w:eastAsia="Times New Roman" w:hAnsi="Arial" w:cs="Arial"/>
          <w:color w:val="000000"/>
          <w:lang w:eastAsia="en-GB"/>
        </w:rPr>
        <w:t xml:space="preserve"> of everyday items to claim them as a </w:t>
      </w:r>
      <w:proofErr w:type="spellStart"/>
      <w:r w:rsidRPr="00D96F1E">
        <w:rPr>
          <w:rFonts w:ascii="Arial" w:eastAsia="Times New Roman" w:hAnsi="Arial" w:cs="Arial"/>
          <w:color w:val="000000"/>
          <w:lang w:eastAsia="en-GB"/>
        </w:rPr>
        <w:t>readymades</w:t>
      </w:r>
      <w:proofErr w:type="spellEnd"/>
      <w:r w:rsidRPr="00D96F1E">
        <w:rPr>
          <w:rFonts w:ascii="Arial" w:eastAsia="Times New Roman" w:hAnsi="Arial" w:cs="Arial"/>
          <w:color w:val="000000"/>
          <w:lang w:eastAsia="en-GB"/>
        </w:rPr>
        <w:t xml:space="preserve">, but deliberate constructions requiring labour and skill.  That adds to the list of material used. </w:t>
      </w:r>
      <w:r w:rsidRPr="00D96F1E">
        <w:rPr>
          <w:rFonts w:ascii="Arial" w:eastAsia="Times New Roman" w:hAnsi="Arial" w:cs="Arial"/>
          <w:color w:val="000000"/>
          <w:shd w:val="clear" w:color="auto" w:fill="FFFFFF"/>
          <w:lang w:eastAsia="en-GB"/>
        </w:rPr>
        <w:t xml:space="preserve">Plaster is an historic art material, but clothing, soap and hair also have evocative, and typically bodily, art connections. Louise Bourgeois, Christian </w:t>
      </w:r>
      <w:proofErr w:type="spellStart"/>
      <w:r w:rsidRPr="00D96F1E">
        <w:rPr>
          <w:rFonts w:ascii="Arial" w:eastAsia="Times New Roman" w:hAnsi="Arial" w:cs="Arial"/>
          <w:color w:val="000000"/>
          <w:shd w:val="clear" w:color="auto" w:fill="FFFFFF"/>
          <w:lang w:eastAsia="en-GB"/>
        </w:rPr>
        <w:t>Boltanski</w:t>
      </w:r>
      <w:proofErr w:type="spellEnd"/>
      <w:r w:rsidRPr="00D96F1E">
        <w:rPr>
          <w:rFonts w:ascii="Arial" w:eastAsia="Times New Roman" w:hAnsi="Arial" w:cs="Arial"/>
          <w:color w:val="000000"/>
          <w:shd w:val="clear" w:color="auto" w:fill="FFFFFF"/>
          <w:lang w:eastAsia="en-GB"/>
        </w:rPr>
        <w:t xml:space="preserve"> and Pia </w:t>
      </w:r>
      <w:proofErr w:type="spellStart"/>
      <w:r w:rsidRPr="00D96F1E">
        <w:rPr>
          <w:rFonts w:ascii="Arial" w:eastAsia="Times New Roman" w:hAnsi="Arial" w:cs="Arial"/>
          <w:color w:val="000000"/>
          <w:shd w:val="clear" w:color="auto" w:fill="FFFFFF"/>
          <w:lang w:eastAsia="en-GB"/>
        </w:rPr>
        <w:t>Camil</w:t>
      </w:r>
      <w:proofErr w:type="spellEnd"/>
      <w:r w:rsidRPr="00D96F1E">
        <w:rPr>
          <w:rFonts w:ascii="Arial" w:eastAsia="Times New Roman" w:hAnsi="Arial" w:cs="Arial"/>
          <w:color w:val="000000"/>
          <w:shd w:val="clear" w:color="auto" w:fill="FFFFFF"/>
          <w:lang w:eastAsia="en-GB"/>
        </w:rPr>
        <w:t xml:space="preserve">, for example, have often employed clothing charged with its history; </w:t>
      </w:r>
      <w:r w:rsidRPr="00D96F1E">
        <w:rPr>
          <w:rFonts w:ascii="Arial" w:eastAsia="Times New Roman" w:hAnsi="Arial" w:cs="Arial"/>
          <w:color w:val="000000"/>
          <w:lang w:eastAsia="en-GB"/>
        </w:rPr>
        <w:t xml:space="preserve">Miroslav </w:t>
      </w:r>
      <w:proofErr w:type="spellStart"/>
      <w:r w:rsidRPr="00D96F1E">
        <w:rPr>
          <w:rFonts w:ascii="Arial" w:eastAsia="Times New Roman" w:hAnsi="Arial" w:cs="Arial"/>
          <w:color w:val="000000"/>
          <w:lang w:eastAsia="en-GB"/>
        </w:rPr>
        <w:t>Balka</w:t>
      </w:r>
      <w:proofErr w:type="spellEnd"/>
      <w:r w:rsidRPr="00D96F1E">
        <w:rPr>
          <w:rFonts w:ascii="Arial" w:eastAsia="Times New Roman" w:hAnsi="Arial" w:cs="Arial"/>
          <w:color w:val="000000"/>
          <w:lang w:eastAsia="en-GB"/>
        </w:rPr>
        <w:t xml:space="preserve">, Janine Antoni and </w:t>
      </w:r>
      <w:proofErr w:type="spellStart"/>
      <w:r w:rsidRPr="00D96F1E">
        <w:rPr>
          <w:rFonts w:ascii="Arial" w:eastAsia="Times New Roman" w:hAnsi="Arial" w:cs="Arial"/>
          <w:color w:val="000000"/>
          <w:shd w:val="clear" w:color="auto" w:fill="FFFFFF"/>
          <w:lang w:eastAsia="en-GB"/>
        </w:rPr>
        <w:t>Meekyoung</w:t>
      </w:r>
      <w:proofErr w:type="spellEnd"/>
      <w:r w:rsidRPr="00D96F1E">
        <w:rPr>
          <w:rFonts w:ascii="Arial" w:eastAsia="Times New Roman" w:hAnsi="Arial" w:cs="Arial"/>
          <w:color w:val="000000"/>
          <w:shd w:val="clear" w:color="auto" w:fill="FFFFFF"/>
          <w:lang w:eastAsia="en-GB"/>
        </w:rPr>
        <w:t xml:space="preserve"> Shin have used soap to powerful effect; David Hammons, Lee </w:t>
      </w:r>
      <w:proofErr w:type="spellStart"/>
      <w:r w:rsidRPr="00D96F1E">
        <w:rPr>
          <w:rFonts w:ascii="Arial" w:eastAsia="Times New Roman" w:hAnsi="Arial" w:cs="Arial"/>
          <w:color w:val="000000"/>
          <w:shd w:val="clear" w:color="auto" w:fill="FFFFFF"/>
          <w:lang w:eastAsia="en-GB"/>
        </w:rPr>
        <w:t>Bul</w:t>
      </w:r>
      <w:proofErr w:type="spellEnd"/>
      <w:r w:rsidRPr="00D96F1E">
        <w:rPr>
          <w:rFonts w:ascii="Arial" w:eastAsia="Times New Roman" w:hAnsi="Arial" w:cs="Arial"/>
          <w:color w:val="000000"/>
          <w:shd w:val="clear" w:color="auto" w:fill="FFFFFF"/>
          <w:lang w:eastAsia="en-GB"/>
        </w:rPr>
        <w:t xml:space="preserve"> and Sheela Gowda - hair.</w:t>
      </w:r>
    </w:p>
    <w:p w:rsidR="00D96F1E" w:rsidRPr="00D96F1E" w:rsidRDefault="00D96F1E" w:rsidP="00D96F1E">
      <w:pPr>
        <w:spacing w:before="240" w:after="240" w:line="240" w:lineRule="auto"/>
        <w:ind w:left="-284" w:right="-188"/>
        <w:rPr>
          <w:rFonts w:ascii="Times New Roman" w:eastAsia="Times New Roman" w:hAnsi="Times New Roman" w:cs="Times New Roman"/>
          <w:sz w:val="24"/>
          <w:szCs w:val="24"/>
          <w:lang w:eastAsia="en-GB"/>
        </w:rPr>
      </w:pPr>
      <w:r w:rsidRPr="00D96F1E">
        <w:rPr>
          <w:rFonts w:ascii="Arial" w:eastAsia="Times New Roman" w:hAnsi="Arial" w:cs="Arial"/>
          <w:color w:val="000000"/>
          <w:lang w:eastAsia="en-GB"/>
        </w:rPr>
        <w:t>‘it’s what’s inside</w:t>
      </w:r>
      <w:r>
        <w:rPr>
          <w:rFonts w:ascii="Arial" w:eastAsia="Times New Roman" w:hAnsi="Arial" w:cs="Arial"/>
          <w:color w:val="000000"/>
          <w:lang w:eastAsia="en-GB"/>
        </w:rPr>
        <w:t>’</w:t>
      </w:r>
      <w:r w:rsidRPr="00D96F1E">
        <w:rPr>
          <w:rFonts w:ascii="Arial" w:eastAsia="Times New Roman" w:hAnsi="Arial" w:cs="Arial"/>
          <w:color w:val="000000"/>
          <w:lang w:eastAsia="en-GB"/>
        </w:rPr>
        <w:t xml:space="preserve">:  </w:t>
      </w:r>
      <w:r w:rsidRPr="00D96F1E">
        <w:rPr>
          <w:rFonts w:ascii="Arial" w:eastAsia="Times New Roman" w:hAnsi="Arial" w:cs="Arial"/>
          <w:i/>
          <w:color w:val="000000"/>
          <w:lang w:eastAsia="en-GB"/>
        </w:rPr>
        <w:t xml:space="preserve">Pink </w:t>
      </w:r>
      <w:proofErr w:type="spellStart"/>
      <w:r w:rsidRPr="00D96F1E">
        <w:rPr>
          <w:rFonts w:ascii="Arial" w:eastAsia="Times New Roman" w:hAnsi="Arial" w:cs="Arial"/>
          <w:i/>
          <w:color w:val="000000"/>
          <w:lang w:eastAsia="en-GB"/>
        </w:rPr>
        <w:t>Pourings</w:t>
      </w:r>
      <w:proofErr w:type="spellEnd"/>
      <w:r w:rsidRPr="00D96F1E">
        <w:rPr>
          <w:rFonts w:ascii="Arial" w:eastAsia="Times New Roman" w:hAnsi="Arial" w:cs="Arial"/>
          <w:color w:val="000000"/>
          <w:lang w:eastAsia="en-GB"/>
        </w:rPr>
        <w:t xml:space="preserve"> on closer examination, consist of three differently-hued layers, onto the middle of which hair has been wetted, woven and stuck into place. It’s Brown’s hair, as the pair judged her wavy locks superior to Pager’s for the purpose. The results are wispily attractive drawings of sorts, steering tenuously between beauty and disgust, carefully interred in the middle of the soap. An everyday accident becomes a conscious navigation between chance and control – as does the main work, the final form of which remained unknown until the camera was switched on in the space.</w:t>
      </w:r>
    </w:p>
    <w:p w:rsidR="00D96F1E" w:rsidRPr="00D96F1E" w:rsidRDefault="00D96F1E" w:rsidP="00D96F1E">
      <w:pPr>
        <w:shd w:val="clear" w:color="auto" w:fill="FFFFFF"/>
        <w:spacing w:after="0" w:line="240" w:lineRule="auto"/>
        <w:ind w:left="-284" w:right="-188"/>
        <w:rPr>
          <w:rFonts w:ascii="Times New Roman" w:eastAsia="Times New Roman" w:hAnsi="Times New Roman" w:cs="Times New Roman"/>
          <w:sz w:val="24"/>
          <w:szCs w:val="24"/>
          <w:lang w:eastAsia="en-GB"/>
        </w:rPr>
      </w:pPr>
      <w:r w:rsidRPr="00D96F1E">
        <w:rPr>
          <w:rFonts w:ascii="Arial" w:eastAsia="Times New Roman" w:hAnsi="Arial" w:cs="Arial"/>
          <w:color w:val="000000"/>
          <w:lang w:eastAsia="en-GB"/>
        </w:rPr>
        <w:t>What we see at Gallery DODO and online aren’t – as we might initially assume – abstract productions standing apart from their creators, but the treble incarnation through bodily materials of the artists’ implied and visceral presence. And the way we encounter the work – the dance between inside and outside, seen and unseen, virtual and real, nesting and imprisonment, chance and control – becomes its binary-denying content. There are no easy distinctions here. It isn’t just the inside that counts in ‘it’s what’s inside’.</w:t>
      </w:r>
    </w:p>
    <w:p w:rsidR="00D96F1E" w:rsidRPr="00D96F1E" w:rsidRDefault="00D96F1E" w:rsidP="00D96F1E">
      <w:pPr>
        <w:shd w:val="clear" w:color="auto" w:fill="FFFFFF"/>
        <w:spacing w:after="0" w:line="240" w:lineRule="auto"/>
        <w:ind w:left="-284" w:right="-188"/>
        <w:rPr>
          <w:rFonts w:ascii="Times New Roman" w:eastAsia="Times New Roman" w:hAnsi="Times New Roman" w:cs="Times New Roman"/>
          <w:sz w:val="24"/>
          <w:szCs w:val="24"/>
          <w:lang w:eastAsia="en-GB"/>
        </w:rPr>
      </w:pPr>
      <w:r w:rsidRPr="00D96F1E">
        <w:rPr>
          <w:rFonts w:ascii="Arial" w:eastAsia="Times New Roman" w:hAnsi="Arial" w:cs="Arial"/>
          <w:color w:val="000000"/>
          <w:lang w:eastAsia="en-GB"/>
        </w:rPr>
        <w:t> </w:t>
      </w:r>
    </w:p>
    <w:p w:rsidR="00D96F1E" w:rsidRPr="00D96F1E" w:rsidRDefault="00D96F1E" w:rsidP="00D96F1E">
      <w:pPr>
        <w:shd w:val="clear" w:color="auto" w:fill="FFFFFF"/>
        <w:spacing w:after="0" w:line="240" w:lineRule="auto"/>
        <w:ind w:left="-284" w:right="-188"/>
        <w:rPr>
          <w:rFonts w:ascii="Times New Roman" w:eastAsia="Times New Roman" w:hAnsi="Times New Roman" w:cs="Times New Roman"/>
          <w:sz w:val="24"/>
          <w:szCs w:val="24"/>
          <w:lang w:eastAsia="en-GB"/>
        </w:rPr>
      </w:pPr>
      <w:r w:rsidRPr="00D96F1E">
        <w:rPr>
          <w:rFonts w:ascii="Arial" w:eastAsia="Times New Roman" w:hAnsi="Arial" w:cs="Arial"/>
          <w:color w:val="000000"/>
          <w:lang w:eastAsia="en-GB"/>
        </w:rPr>
        <w:t>Paul Carey-Kent</w:t>
      </w:r>
    </w:p>
    <w:p w:rsidR="00D96F1E" w:rsidRPr="00D96F1E" w:rsidRDefault="00D96F1E" w:rsidP="00D96F1E">
      <w:pPr>
        <w:shd w:val="clear" w:color="auto" w:fill="FFFFFF"/>
        <w:spacing w:after="240" w:line="240" w:lineRule="auto"/>
        <w:ind w:left="-284" w:right="-188"/>
        <w:rPr>
          <w:rFonts w:ascii="Times New Roman" w:eastAsia="Times New Roman" w:hAnsi="Times New Roman" w:cs="Times New Roman"/>
          <w:sz w:val="24"/>
          <w:szCs w:val="24"/>
          <w:lang w:eastAsia="en-GB"/>
        </w:rPr>
      </w:pPr>
      <w:r w:rsidRPr="00D96F1E">
        <w:rPr>
          <w:rFonts w:ascii="Arial" w:eastAsia="Times New Roman" w:hAnsi="Arial" w:cs="Arial"/>
          <w:color w:val="000000"/>
          <w:lang w:eastAsia="en-GB"/>
        </w:rPr>
        <w:t>August 2021</w:t>
      </w:r>
    </w:p>
    <w:p w:rsidR="00085875" w:rsidRDefault="00085875" w:rsidP="00D96F1E">
      <w:pPr>
        <w:ind w:left="-284" w:right="-188"/>
      </w:pPr>
    </w:p>
    <w:sectPr w:rsidR="0008587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F1E"/>
    <w:rsid w:val="00085875"/>
    <w:rsid w:val="00D96F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9BD610"/>
  <w15:chartTrackingRefBased/>
  <w15:docId w15:val="{0AEDDEF8-2DE1-4549-A8C9-813F784044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96F1E"/>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193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927</Words>
  <Characters>5288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 221</dc:creator>
  <cp:keywords/>
  <dc:description/>
  <cp:lastModifiedBy>ASUS 221</cp:lastModifiedBy>
  <cp:revision>1</cp:revision>
  <dcterms:created xsi:type="dcterms:W3CDTF">2023-06-03T12:38:00Z</dcterms:created>
  <dcterms:modified xsi:type="dcterms:W3CDTF">2023-06-03T12:47:00Z</dcterms:modified>
</cp:coreProperties>
</file>